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25" w:rsidRPr="00A21BA4" w:rsidRDefault="00325949" w:rsidP="007D6D46">
      <w:pPr>
        <w:pBdr>
          <w:bottom w:val="single" w:sz="4" w:space="1" w:color="auto"/>
        </w:pBdr>
        <w:spacing w:before="120" w:after="200" w:line="320" w:lineRule="exact"/>
        <w:jc w:val="center"/>
        <w:rPr>
          <w:rFonts w:ascii="Centaur" w:hAnsi="Centaur"/>
          <w:b/>
          <w:color w:val="365F91"/>
          <w:spacing w:val="20"/>
          <w:sz w:val="28"/>
          <w:szCs w:val="32"/>
          <w:lang w:val="is-IS" w:eastAsia="is-IS"/>
        </w:rPr>
      </w:pPr>
      <w:r w:rsidRPr="00A21BA4">
        <w:rPr>
          <w:rFonts w:ascii="Centaur" w:hAnsi="Centaur"/>
          <w:b/>
          <w:color w:val="365F91"/>
          <w:spacing w:val="20"/>
          <w:sz w:val="28"/>
          <w:szCs w:val="32"/>
          <w:lang w:val="is-IS" w:eastAsia="is-IS"/>
        </w:rPr>
        <w:t>Samningur</w:t>
      </w:r>
      <w:r w:rsidR="00677125" w:rsidRPr="00A21BA4">
        <w:rPr>
          <w:rFonts w:ascii="Centaur" w:hAnsi="Centaur"/>
          <w:b/>
          <w:color w:val="365F91"/>
          <w:spacing w:val="20"/>
          <w:sz w:val="28"/>
          <w:szCs w:val="32"/>
          <w:lang w:val="is-IS" w:eastAsia="is-IS"/>
        </w:rPr>
        <w:t xml:space="preserve"> </w:t>
      </w:r>
    </w:p>
    <w:p w:rsidR="008B4283" w:rsidRDefault="00F805B8" w:rsidP="007D6D46">
      <w:pPr>
        <w:pBdr>
          <w:bottom w:val="single" w:sz="4" w:space="1" w:color="auto"/>
        </w:pBdr>
        <w:spacing w:before="120" w:after="200" w:line="320" w:lineRule="exact"/>
        <w:jc w:val="center"/>
        <w:rPr>
          <w:rFonts w:ascii="Centaur" w:hAnsi="Centaur"/>
          <w:b/>
          <w:color w:val="365F91"/>
          <w:spacing w:val="20"/>
          <w:sz w:val="28"/>
          <w:szCs w:val="32"/>
          <w:lang w:val="is-IS" w:eastAsia="is-IS"/>
        </w:rPr>
      </w:pPr>
      <w:r w:rsidRPr="00A21BA4">
        <w:rPr>
          <w:rFonts w:ascii="Centaur" w:hAnsi="Centaur"/>
          <w:b/>
          <w:color w:val="365F91"/>
          <w:spacing w:val="20"/>
          <w:sz w:val="28"/>
          <w:szCs w:val="32"/>
          <w:lang w:val="is-IS" w:eastAsia="is-IS"/>
        </w:rPr>
        <w:t>milli u</w:t>
      </w:r>
      <w:r w:rsidR="00504C09">
        <w:rPr>
          <w:rFonts w:ascii="Centaur" w:hAnsi="Centaur"/>
          <w:b/>
          <w:color w:val="365F91"/>
          <w:spacing w:val="20"/>
          <w:sz w:val="28"/>
          <w:szCs w:val="32"/>
          <w:lang w:val="is-IS" w:eastAsia="is-IS"/>
        </w:rPr>
        <w:t xml:space="preserve">tanríkisráðuneytisins og </w:t>
      </w:r>
      <w:sdt>
        <w:sdtPr>
          <w:rPr>
            <w:rFonts w:ascii="Centaur" w:hAnsi="Centaur"/>
            <w:b/>
            <w:color w:val="FF0000"/>
            <w:spacing w:val="20"/>
            <w:sz w:val="28"/>
            <w:szCs w:val="32"/>
            <w:lang w:val="is-IS" w:eastAsia="is-IS"/>
          </w:rPr>
          <w:alias w:val="Subject"/>
          <w:tag w:val=""/>
          <w:id w:val="392543512"/>
          <w:placeholder>
            <w:docPart w:val="08E0D0647BFC4E8CA67A92F12390AA0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04C09" w:rsidRPr="00504C09">
            <w:rPr>
              <w:rStyle w:val="PlaceholderText"/>
              <w:color w:val="FF0000"/>
            </w:rPr>
            <w:t>[Subject]</w:t>
          </w:r>
        </w:sdtContent>
      </w:sdt>
      <w:r w:rsidR="003D55EA" w:rsidRPr="00504C09">
        <w:rPr>
          <w:rFonts w:ascii="Centaur" w:hAnsi="Centaur"/>
          <w:b/>
          <w:color w:val="FF0000"/>
          <w:spacing w:val="20"/>
          <w:sz w:val="28"/>
          <w:szCs w:val="32"/>
          <w:lang w:val="is-IS" w:eastAsia="is-IS"/>
        </w:rPr>
        <w:t xml:space="preserve"> </w:t>
      </w:r>
    </w:p>
    <w:p w:rsidR="008B4283" w:rsidRPr="00504C09" w:rsidRDefault="008B4283" w:rsidP="007D6D46">
      <w:pPr>
        <w:pBdr>
          <w:bottom w:val="single" w:sz="4" w:space="1" w:color="auto"/>
        </w:pBdr>
        <w:spacing w:before="120" w:after="200" w:line="320" w:lineRule="exact"/>
        <w:jc w:val="center"/>
        <w:rPr>
          <w:rFonts w:ascii="Centaur" w:hAnsi="Centaur"/>
          <w:b/>
          <w:color w:val="FF0000"/>
          <w:spacing w:val="20"/>
          <w:sz w:val="28"/>
          <w:szCs w:val="32"/>
          <w:lang w:val="is-IS" w:eastAsia="is-IS"/>
        </w:rPr>
      </w:pPr>
      <w:r>
        <w:rPr>
          <w:rFonts w:ascii="Centaur" w:hAnsi="Centaur"/>
          <w:b/>
          <w:color w:val="365F91"/>
          <w:spacing w:val="20"/>
          <w:sz w:val="28"/>
          <w:szCs w:val="32"/>
          <w:lang w:val="is-IS" w:eastAsia="is-IS"/>
        </w:rPr>
        <w:t xml:space="preserve"> </w:t>
      </w:r>
      <w:r w:rsidRPr="008B4283">
        <w:rPr>
          <w:rFonts w:ascii="Centaur" w:hAnsi="Centaur"/>
          <w:b/>
          <w:color w:val="365F91"/>
          <w:spacing w:val="20"/>
          <w:sz w:val="28"/>
          <w:szCs w:val="32"/>
          <w:lang w:val="is-IS" w:eastAsia="is-IS"/>
        </w:rPr>
        <w:t xml:space="preserve">vegna </w:t>
      </w:r>
      <w:r w:rsidR="00504C09" w:rsidRPr="00504C09">
        <w:rPr>
          <w:rFonts w:ascii="Centaur" w:hAnsi="Centaur"/>
          <w:b/>
          <w:color w:val="FF0000"/>
          <w:spacing w:val="20"/>
          <w:sz w:val="28"/>
          <w:szCs w:val="32"/>
          <w:lang w:val="is-IS" w:eastAsia="is-IS"/>
        </w:rPr>
        <w:fldChar w:fldCharType="begin"/>
      </w:r>
      <w:r w:rsidR="00504C09" w:rsidRPr="00504C09">
        <w:rPr>
          <w:rFonts w:ascii="Centaur" w:hAnsi="Centaur"/>
          <w:b/>
          <w:color w:val="FF0000"/>
          <w:spacing w:val="20"/>
          <w:sz w:val="28"/>
          <w:szCs w:val="32"/>
          <w:lang w:val="is-IS" w:eastAsia="is-IS"/>
        </w:rPr>
        <w:instrText xml:space="preserve"> = verkefni \* MERGEFORMAT </w:instrText>
      </w:r>
      <w:r w:rsidR="00504C09" w:rsidRPr="00504C09">
        <w:rPr>
          <w:rFonts w:ascii="Centaur" w:hAnsi="Centaur"/>
          <w:b/>
          <w:color w:val="FF0000"/>
          <w:spacing w:val="20"/>
          <w:sz w:val="28"/>
          <w:szCs w:val="32"/>
          <w:lang w:val="is-IS" w:eastAsia="is-IS"/>
        </w:rPr>
        <w:fldChar w:fldCharType="separate"/>
      </w:r>
      <w:r w:rsidR="00504C09" w:rsidRPr="00504C09">
        <w:rPr>
          <w:rFonts w:ascii="Centaur" w:hAnsi="Centaur"/>
          <w:noProof/>
          <w:color w:val="FF0000"/>
          <w:spacing w:val="20"/>
          <w:sz w:val="28"/>
          <w:szCs w:val="32"/>
          <w:lang w:val="is-IS" w:eastAsia="is-IS"/>
        </w:rPr>
        <w:t>!Undefined Bookmark, VERKEFNI</w:t>
      </w:r>
      <w:r w:rsidR="00504C09" w:rsidRPr="00504C09">
        <w:rPr>
          <w:rFonts w:ascii="Centaur" w:hAnsi="Centaur"/>
          <w:b/>
          <w:color w:val="FF0000"/>
          <w:spacing w:val="20"/>
          <w:sz w:val="28"/>
          <w:szCs w:val="32"/>
          <w:lang w:val="is-IS" w:eastAsia="is-IS"/>
        </w:rPr>
        <w:fldChar w:fldCharType="end"/>
      </w:r>
    </w:p>
    <w:p w:rsidR="00325949" w:rsidRPr="00A21BA4" w:rsidRDefault="00325949" w:rsidP="00713EB0">
      <w:pPr>
        <w:spacing w:before="120" w:line="320" w:lineRule="exact"/>
        <w:jc w:val="both"/>
        <w:rPr>
          <w:rFonts w:ascii="Centaur" w:hAnsi="Centaur"/>
          <w:lang w:val="is-IS"/>
        </w:rPr>
      </w:pPr>
      <w:r w:rsidRPr="00A21BA4">
        <w:rPr>
          <w:rFonts w:ascii="Centaur" w:hAnsi="Centaur"/>
          <w:lang w:val="is-IS"/>
        </w:rPr>
        <w:t xml:space="preserve">Utanríkisráðuneytið (hér eftir UTN), kennitala 670269-4779, Rauðarárstíg 25, 150 Reykjavík og Rauði </w:t>
      </w:r>
      <w:r w:rsidR="009E256B">
        <w:rPr>
          <w:rFonts w:ascii="Centaur" w:hAnsi="Centaur"/>
          <w:lang w:val="is-IS"/>
        </w:rPr>
        <w:t>krossinn á Íslandi</w:t>
      </w:r>
      <w:r w:rsidRPr="00A21BA4">
        <w:rPr>
          <w:rFonts w:ascii="Centaur" w:hAnsi="Centaur"/>
          <w:lang w:val="is-IS"/>
        </w:rPr>
        <w:t xml:space="preserve"> (hér eftir RKÍ) Efstaleiti 9, 103 Reyk</w:t>
      </w:r>
      <w:r w:rsidR="00F805B8" w:rsidRPr="00A21BA4">
        <w:rPr>
          <w:rFonts w:ascii="Centaur" w:hAnsi="Centaur"/>
          <w:lang w:val="is-IS"/>
        </w:rPr>
        <w:t>javík kt. 530269-</w:t>
      </w:r>
      <w:r w:rsidRPr="00A21BA4">
        <w:rPr>
          <w:rFonts w:ascii="Centaur" w:hAnsi="Centaur"/>
          <w:lang w:val="is-IS"/>
        </w:rPr>
        <w:t>2649 gera með sér eftirfarandi samning.</w:t>
      </w:r>
    </w:p>
    <w:p w:rsidR="009F0394" w:rsidRPr="00A21BA4" w:rsidRDefault="00325949" w:rsidP="009F0394">
      <w:pPr>
        <w:spacing w:before="120" w:line="320" w:lineRule="exact"/>
        <w:jc w:val="both"/>
        <w:rPr>
          <w:rFonts w:ascii="Centaur" w:hAnsi="Centaur"/>
          <w:lang w:val="is-IS"/>
        </w:rPr>
      </w:pPr>
      <w:r w:rsidRPr="00A21BA4">
        <w:rPr>
          <w:rFonts w:ascii="Centaur" w:hAnsi="Centaur"/>
          <w:lang w:val="is-IS"/>
        </w:rPr>
        <w:t>Vísað er til umsóknar</w:t>
      </w:r>
      <w:r w:rsidRPr="00504C09">
        <w:rPr>
          <w:rFonts w:ascii="Centaur" w:hAnsi="Centaur"/>
          <w:color w:val="FF0000"/>
          <w:lang w:val="is-IS"/>
        </w:rPr>
        <w:t xml:space="preserve"> </w:t>
      </w:r>
      <w:r w:rsidR="00504C09" w:rsidRPr="00504C09">
        <w:rPr>
          <w:rFonts w:ascii="Centaur" w:hAnsi="Centaur"/>
          <w:color w:val="FF0000"/>
          <w:lang w:val="is-IS"/>
        </w:rPr>
        <w:t>....</w:t>
      </w:r>
      <w:r w:rsidR="009F0394" w:rsidRPr="00504C09">
        <w:rPr>
          <w:rFonts w:ascii="Centaur" w:hAnsi="Centaur"/>
          <w:color w:val="FF0000"/>
          <w:lang w:val="is-IS"/>
        </w:rPr>
        <w:t xml:space="preserve"> </w:t>
      </w:r>
      <w:r w:rsidRPr="00A21BA4">
        <w:rPr>
          <w:rFonts w:ascii="Centaur" w:hAnsi="Centaur"/>
          <w:lang w:val="is-IS"/>
        </w:rPr>
        <w:t>og meðfylgjandi verkefnisskjals þar sem sótt er um</w:t>
      </w:r>
      <w:r w:rsidRPr="00504C09">
        <w:rPr>
          <w:rFonts w:ascii="Centaur" w:hAnsi="Centaur"/>
          <w:color w:val="FF0000"/>
          <w:lang w:val="is-IS"/>
        </w:rPr>
        <w:t xml:space="preserve"> </w:t>
      </w:r>
      <w:r w:rsidR="00504C09" w:rsidRPr="00504C09">
        <w:rPr>
          <w:rFonts w:ascii="Centaur" w:hAnsi="Centaur"/>
          <w:color w:val="FF0000"/>
          <w:lang w:val="is-IS"/>
        </w:rPr>
        <w:t xml:space="preserve">... </w:t>
      </w:r>
      <w:proofErr w:type="spellStart"/>
      <w:r w:rsidR="00DA32D6" w:rsidRPr="00A21BA4">
        <w:rPr>
          <w:rFonts w:ascii="Centaur" w:hAnsi="Centaur"/>
          <w:lang w:val="is-IS"/>
        </w:rPr>
        <w:t>króna</w:t>
      </w:r>
      <w:proofErr w:type="spellEnd"/>
      <w:r w:rsidR="00DA32D6" w:rsidRPr="00A21BA4">
        <w:rPr>
          <w:rFonts w:ascii="Centaur" w:hAnsi="Centaur"/>
          <w:lang w:val="is-IS"/>
        </w:rPr>
        <w:t xml:space="preserve"> </w:t>
      </w:r>
      <w:r w:rsidRPr="00A21BA4">
        <w:rPr>
          <w:rFonts w:ascii="Centaur" w:hAnsi="Centaur"/>
          <w:lang w:val="is-IS"/>
        </w:rPr>
        <w:t xml:space="preserve">styrk vegna </w:t>
      </w:r>
      <w:r w:rsidR="00504C09">
        <w:rPr>
          <w:rFonts w:ascii="Centaur" w:hAnsi="Centaur"/>
          <w:color w:val="FF0000"/>
          <w:lang w:val="is-IS"/>
        </w:rPr>
        <w:t>...</w:t>
      </w:r>
      <w:r w:rsidR="008B4283">
        <w:rPr>
          <w:rFonts w:ascii="Centaur" w:hAnsi="Centaur"/>
          <w:lang w:val="is-IS"/>
        </w:rPr>
        <w:t xml:space="preserve">. Framkvæmdaaðili er </w:t>
      </w:r>
      <w:r w:rsidR="003D55EA" w:rsidRPr="003D55EA">
        <w:rPr>
          <w:rFonts w:ascii="Centaur" w:hAnsi="Centaur"/>
          <w:lang w:val="is-IS"/>
        </w:rPr>
        <w:t>Rauða kross</w:t>
      </w:r>
      <w:r w:rsidR="008B4283">
        <w:rPr>
          <w:rFonts w:ascii="Centaur" w:hAnsi="Centaur"/>
          <w:lang w:val="is-IS"/>
        </w:rPr>
        <w:t xml:space="preserve">inn í Namibíu. </w:t>
      </w:r>
      <w:r w:rsidR="003D55EA" w:rsidRPr="003D55EA">
        <w:rPr>
          <w:rFonts w:ascii="Centaur" w:hAnsi="Centaur"/>
          <w:lang w:val="is-IS"/>
        </w:rPr>
        <w:t xml:space="preserve"> </w:t>
      </w:r>
      <w:r w:rsidR="00641052" w:rsidRPr="00A21BA4">
        <w:rPr>
          <w:rFonts w:ascii="Centaur" w:hAnsi="Centaur"/>
          <w:lang w:val="is-IS"/>
        </w:rPr>
        <w:t xml:space="preserve"> </w:t>
      </w:r>
      <w:r w:rsidRPr="00A21BA4">
        <w:rPr>
          <w:rFonts w:ascii="Centaur" w:hAnsi="Centaur"/>
          <w:lang w:val="is-IS"/>
        </w:rPr>
        <w:t xml:space="preserve">UTN hefur ákveðið að veita RKÍ </w:t>
      </w:r>
      <w:r w:rsidR="00DA32D6" w:rsidRPr="00A21BA4">
        <w:rPr>
          <w:rFonts w:ascii="Centaur" w:hAnsi="Centaur"/>
          <w:lang w:val="is-IS"/>
        </w:rPr>
        <w:t>styrkinn.</w:t>
      </w:r>
    </w:p>
    <w:p w:rsidR="00325949" w:rsidRPr="00A21BA4" w:rsidRDefault="00325949" w:rsidP="00713EB0">
      <w:pPr>
        <w:spacing w:before="240" w:line="320" w:lineRule="exact"/>
        <w:jc w:val="center"/>
        <w:rPr>
          <w:rFonts w:ascii="Centaur" w:hAnsi="Centaur"/>
          <w:b/>
          <w:sz w:val="28"/>
          <w:szCs w:val="28"/>
          <w:lang w:val="is-IS"/>
        </w:rPr>
      </w:pPr>
      <w:r w:rsidRPr="00A21BA4">
        <w:rPr>
          <w:rFonts w:ascii="Centaur" w:hAnsi="Centaur"/>
          <w:b/>
          <w:sz w:val="28"/>
          <w:szCs w:val="28"/>
          <w:lang w:val="is-IS"/>
        </w:rPr>
        <w:t>Styrkurinn er veittur með eftirfarandi skilyrðum: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bookmarkStart w:id="0" w:name="_GoBack"/>
      <w:r w:rsidRPr="00A21BA4">
        <w:rPr>
          <w:rFonts w:ascii="Centaur" w:hAnsi="Centaur"/>
          <w:b/>
          <w:lang w:val="is-IS"/>
        </w:rPr>
        <w:t>1. gr.</w:t>
      </w:r>
    </w:p>
    <w:bookmarkEnd w:id="0"/>
    <w:p w:rsidR="00325949" w:rsidRPr="00A21BA4" w:rsidRDefault="00325949" w:rsidP="00713EB0">
      <w:pPr>
        <w:spacing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Styrkurinn</w:t>
      </w:r>
    </w:p>
    <w:p w:rsidR="00325949" w:rsidRPr="00A21BA4" w:rsidRDefault="00325949" w:rsidP="00713EB0">
      <w:pPr>
        <w:spacing w:before="120" w:line="320" w:lineRule="exact"/>
        <w:jc w:val="both"/>
        <w:rPr>
          <w:rFonts w:ascii="Centaur" w:hAnsi="Centaur"/>
          <w:lang w:val="is-IS"/>
        </w:rPr>
      </w:pPr>
      <w:r w:rsidRPr="00A21BA4">
        <w:rPr>
          <w:rFonts w:ascii="Centaur" w:hAnsi="Centaur"/>
          <w:lang w:val="is-IS"/>
        </w:rPr>
        <w:t>Styrkurinn skal eingöngu notast til fjármögnunar verkefnisins, samkvæmt lýsingu í styrkumsókn. Við verkefnislok skulu ónotaðir fjármunir, þar á meðal uppsafnaðir vextir, endurgreiðast til UTN</w:t>
      </w:r>
      <w:r w:rsidRPr="00A21BA4">
        <w:rPr>
          <w:rFonts w:ascii="Centaur" w:hAnsi="Centaur"/>
          <w:iCs/>
          <w:color w:val="FF0000"/>
          <w:spacing w:val="-3"/>
          <w:sz w:val="22"/>
          <w:szCs w:val="22"/>
          <w:lang w:val="is-IS"/>
        </w:rPr>
        <w:t xml:space="preserve"> </w:t>
      </w:r>
      <w:r w:rsidRPr="00A21BA4">
        <w:rPr>
          <w:rFonts w:ascii="Centaur" w:hAnsi="Centaur"/>
          <w:lang w:val="is-IS"/>
        </w:rPr>
        <w:t>nema sérstakur samningur verði gerður um ráðstöfun þessara fjármuna.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2. gr.</w:t>
      </w:r>
    </w:p>
    <w:p w:rsidR="00325949" w:rsidRPr="00A21BA4" w:rsidRDefault="00325949" w:rsidP="00713EB0">
      <w:pPr>
        <w:spacing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Kostnaðarskipting</w:t>
      </w:r>
    </w:p>
    <w:p w:rsidR="00325949" w:rsidRPr="00A21BA4" w:rsidRDefault="00504C09" w:rsidP="00713EB0">
      <w:pPr>
        <w:spacing w:line="320" w:lineRule="exact"/>
        <w:jc w:val="both"/>
        <w:rPr>
          <w:rFonts w:ascii="Centaur" w:hAnsi="Centaur"/>
          <w:lang w:val="is-IS"/>
        </w:rPr>
      </w:pPr>
      <w:r>
        <w:rPr>
          <w:rFonts w:ascii="Centaur" w:hAnsi="Centaur"/>
          <w:color w:val="FF0000"/>
          <w:lang w:val="is-IS"/>
        </w:rPr>
        <w:t>...</w:t>
      </w:r>
      <w:r w:rsidRPr="00504C09">
        <w:rPr>
          <w:rFonts w:ascii="Centaur" w:hAnsi="Centaur"/>
          <w:color w:val="FF0000"/>
          <w:lang w:val="is-IS"/>
        </w:rPr>
        <w:t xml:space="preserve"> </w:t>
      </w:r>
      <w:r w:rsidR="00BA2E5C" w:rsidRPr="00A21BA4">
        <w:rPr>
          <w:rFonts w:ascii="Centaur" w:hAnsi="Centaur"/>
          <w:lang w:val="is-IS"/>
        </w:rPr>
        <w:t xml:space="preserve">leggur fram </w:t>
      </w:r>
      <w:r w:rsidR="009F0394" w:rsidRPr="00A21BA4">
        <w:rPr>
          <w:rFonts w:ascii="Centaur" w:hAnsi="Centaur"/>
          <w:lang w:val="is-IS"/>
        </w:rPr>
        <w:t xml:space="preserve">kr. </w:t>
      </w:r>
      <w:r>
        <w:rPr>
          <w:rFonts w:ascii="Centaur" w:hAnsi="Centaur"/>
          <w:lang w:val="is-IS"/>
        </w:rPr>
        <w:t xml:space="preserve">... </w:t>
      </w:r>
      <w:r w:rsidR="00BA2E5C" w:rsidRPr="00A21BA4">
        <w:rPr>
          <w:rFonts w:ascii="Centaur" w:hAnsi="Centaur"/>
          <w:lang w:val="is-IS"/>
        </w:rPr>
        <w:t>til verkefnisins og uppfyllir því skilyrði verklagsreglna um kostnaðarskiptingu</w:t>
      </w:r>
      <w:r w:rsidR="00A21BA4">
        <w:rPr>
          <w:rFonts w:ascii="Centaur" w:hAnsi="Centaur"/>
          <w:lang w:val="is-IS"/>
        </w:rPr>
        <w:t xml:space="preserve"> vegna neyðarverkefna</w:t>
      </w:r>
      <w:r w:rsidR="00BA2E5C" w:rsidRPr="00A21BA4">
        <w:rPr>
          <w:rFonts w:ascii="Centaur" w:hAnsi="Centaur"/>
          <w:lang w:val="is-IS"/>
        </w:rPr>
        <w:t>.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3. gr.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lang w:val="is-IS"/>
        </w:rPr>
      </w:pPr>
      <w:r w:rsidRPr="00A21BA4">
        <w:rPr>
          <w:rFonts w:ascii="Centaur" w:hAnsi="Centaur"/>
          <w:b/>
          <w:lang w:val="is-IS"/>
        </w:rPr>
        <w:t>Greiðslufyrirkomulag</w:t>
      </w:r>
    </w:p>
    <w:p w:rsidR="00325949" w:rsidRPr="00A21BA4" w:rsidRDefault="00325949" w:rsidP="00713EB0">
      <w:pPr>
        <w:spacing w:before="120" w:line="320" w:lineRule="exact"/>
        <w:jc w:val="both"/>
        <w:rPr>
          <w:rFonts w:ascii="Centaur" w:hAnsi="Centaur"/>
          <w:color w:val="FF0000"/>
          <w:lang w:val="is-IS"/>
        </w:rPr>
      </w:pPr>
      <w:r w:rsidRPr="00A21BA4">
        <w:rPr>
          <w:rFonts w:ascii="Centaur" w:hAnsi="Centaur"/>
          <w:lang w:val="is-IS"/>
        </w:rPr>
        <w:t xml:space="preserve">Styrkurinn verður greiddur við undirskrift samnings þessa. </w:t>
      </w:r>
      <w:r w:rsidR="00504C09">
        <w:rPr>
          <w:rFonts w:ascii="Centaur" w:hAnsi="Centaur"/>
          <w:b/>
          <w:color w:val="FF0000"/>
          <w:lang w:val="is-IS"/>
        </w:rPr>
        <w:t>Félagið</w:t>
      </w:r>
      <w:r w:rsidR="00504C09" w:rsidRPr="00A21BA4">
        <w:rPr>
          <w:rFonts w:ascii="Centaur" w:hAnsi="Centaur"/>
          <w:b/>
          <w:lang w:val="is-IS"/>
        </w:rPr>
        <w:t xml:space="preserve"> </w:t>
      </w:r>
      <w:r w:rsidRPr="00A21BA4">
        <w:rPr>
          <w:rFonts w:ascii="Centaur" w:hAnsi="Centaur"/>
          <w:b/>
          <w:lang w:val="is-IS"/>
        </w:rPr>
        <w:t>skal staðfesta skriflega móttöku styrkupphæðar</w:t>
      </w:r>
      <w:r w:rsidRPr="00A21BA4">
        <w:rPr>
          <w:rFonts w:ascii="Centaur" w:hAnsi="Centaur"/>
          <w:lang w:val="is-IS"/>
        </w:rPr>
        <w:t xml:space="preserve">. 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4. gr.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Skýrslur og reikningar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4.1</w:t>
      </w:r>
    </w:p>
    <w:p w:rsidR="00325949" w:rsidRPr="00A21BA4" w:rsidRDefault="00950E5B" w:rsidP="00713EB0">
      <w:pPr>
        <w:spacing w:before="120" w:line="320" w:lineRule="exact"/>
        <w:jc w:val="both"/>
        <w:rPr>
          <w:rFonts w:ascii="Centaur" w:hAnsi="Centaur"/>
          <w:b/>
          <w:lang w:val="is-IS"/>
        </w:rPr>
      </w:pPr>
      <w:r w:rsidRPr="00D04F18">
        <w:rPr>
          <w:rFonts w:ascii="Centaur" w:hAnsi="Centaur"/>
          <w:lang w:val="is-IS"/>
        </w:rPr>
        <w:t xml:space="preserve">Verkefnislok eru </w:t>
      </w:r>
      <w:r w:rsidR="0039522F" w:rsidRPr="00D04F18">
        <w:rPr>
          <w:rFonts w:ascii="Centaur" w:hAnsi="Centaur"/>
          <w:lang w:val="is-IS"/>
        </w:rPr>
        <w:t xml:space="preserve">í </w:t>
      </w:r>
      <w:r w:rsidR="00504C09" w:rsidRPr="00D04F18">
        <w:rPr>
          <w:rFonts w:ascii="Centaur" w:hAnsi="Centaur"/>
          <w:color w:val="FF0000"/>
          <w:lang w:val="is-IS"/>
        </w:rPr>
        <w:t>....</w:t>
      </w:r>
      <w:r w:rsidR="00A21BA4" w:rsidRPr="00D04F18">
        <w:rPr>
          <w:rFonts w:ascii="Centaur" w:hAnsi="Centaur"/>
          <w:color w:val="FF0000"/>
          <w:lang w:val="is-IS"/>
        </w:rPr>
        <w:t xml:space="preserve"> </w:t>
      </w:r>
      <w:r w:rsidR="00A21BA4" w:rsidRPr="00D04F18">
        <w:rPr>
          <w:rFonts w:ascii="Centaur" w:hAnsi="Centaur"/>
          <w:lang w:val="is-IS"/>
        </w:rPr>
        <w:t xml:space="preserve">og </w:t>
      </w:r>
      <w:r w:rsidR="003D55EA" w:rsidRPr="00D04F18">
        <w:rPr>
          <w:rFonts w:ascii="Centaur" w:hAnsi="Centaur"/>
          <w:lang w:val="is-IS"/>
        </w:rPr>
        <w:t xml:space="preserve">skal </w:t>
      </w:r>
      <w:r w:rsidR="00A21BA4" w:rsidRPr="00D04F18">
        <w:rPr>
          <w:rFonts w:ascii="Centaur" w:hAnsi="Centaur"/>
          <w:lang w:val="is-IS"/>
        </w:rPr>
        <w:t>lokaskýrsl</w:t>
      </w:r>
      <w:r w:rsidR="003D55EA" w:rsidRPr="00D04F18">
        <w:rPr>
          <w:rFonts w:ascii="Centaur" w:hAnsi="Centaur"/>
          <w:lang w:val="is-IS"/>
        </w:rPr>
        <w:t>u</w:t>
      </w:r>
      <w:r w:rsidR="00A21BA4" w:rsidRPr="00D04F18">
        <w:rPr>
          <w:rFonts w:ascii="Centaur" w:hAnsi="Centaur"/>
          <w:lang w:val="is-IS"/>
        </w:rPr>
        <w:t xml:space="preserve"> vegna </w:t>
      </w:r>
      <w:r w:rsidR="003D55EA" w:rsidRPr="00D04F18">
        <w:rPr>
          <w:rFonts w:ascii="Centaur" w:hAnsi="Centaur"/>
          <w:lang w:val="is-IS"/>
        </w:rPr>
        <w:t>verkefnisins</w:t>
      </w:r>
      <w:r w:rsidR="00A21BA4" w:rsidRPr="00D04F18">
        <w:rPr>
          <w:rFonts w:ascii="Centaur" w:hAnsi="Centaur"/>
          <w:lang w:val="is-IS"/>
        </w:rPr>
        <w:t xml:space="preserve"> skilað til UTN</w:t>
      </w:r>
      <w:r w:rsidR="003D55EA" w:rsidRPr="00D04F18">
        <w:rPr>
          <w:rFonts w:ascii="Centaur" w:hAnsi="Centaur"/>
          <w:lang w:val="is-IS"/>
        </w:rPr>
        <w:t xml:space="preserve"> fyrir </w:t>
      </w:r>
      <w:r w:rsidR="00504C09" w:rsidRPr="00D04F18">
        <w:rPr>
          <w:rFonts w:ascii="Centaur" w:hAnsi="Centaur"/>
          <w:color w:val="FF0000"/>
          <w:lang w:val="is-IS"/>
        </w:rPr>
        <w:t>...</w:t>
      </w:r>
      <w:r w:rsidR="00A21BA4" w:rsidRPr="00D04F18">
        <w:rPr>
          <w:rFonts w:ascii="Centaur" w:hAnsi="Centaur"/>
          <w:lang w:val="is-IS"/>
        </w:rPr>
        <w:t>.</w:t>
      </w:r>
      <w:r w:rsidR="00325949" w:rsidRPr="00D04F18">
        <w:rPr>
          <w:rFonts w:ascii="Centaur" w:hAnsi="Centaur"/>
          <w:lang w:val="is-IS"/>
        </w:rPr>
        <w:t xml:space="preserve"> </w:t>
      </w:r>
      <w:r w:rsidR="00504C09" w:rsidRPr="00D04F18">
        <w:rPr>
          <w:rFonts w:ascii="Centaur" w:hAnsi="Centaur"/>
          <w:color w:val="FF0000"/>
          <w:lang w:val="is-IS"/>
        </w:rPr>
        <w:t>Félaginu</w:t>
      </w:r>
      <w:r w:rsidR="00325949" w:rsidRPr="00D04F18">
        <w:rPr>
          <w:rFonts w:ascii="Centaur" w:hAnsi="Centaur"/>
          <w:color w:val="FF0000"/>
          <w:lang w:val="is-IS"/>
        </w:rPr>
        <w:t xml:space="preserve"> </w:t>
      </w:r>
      <w:r w:rsidR="00A21BA4" w:rsidRPr="00D04F18">
        <w:rPr>
          <w:rFonts w:ascii="Centaur" w:hAnsi="Centaur"/>
          <w:lang w:val="is-IS"/>
        </w:rPr>
        <w:t xml:space="preserve">ber jafnframt að </w:t>
      </w:r>
      <w:r w:rsidR="00325949" w:rsidRPr="00D04F18">
        <w:rPr>
          <w:rFonts w:ascii="Centaur" w:hAnsi="Centaur"/>
          <w:lang w:val="is-IS"/>
        </w:rPr>
        <w:t xml:space="preserve">skila </w:t>
      </w:r>
      <w:r w:rsidR="00A21BA4" w:rsidRPr="00D04F18">
        <w:rPr>
          <w:rFonts w:ascii="Centaur" w:hAnsi="Centaur"/>
          <w:lang w:val="is-IS"/>
        </w:rPr>
        <w:t xml:space="preserve">eigin </w:t>
      </w:r>
      <w:r w:rsidR="00504C09" w:rsidRPr="00D04F18">
        <w:rPr>
          <w:rFonts w:ascii="Centaur" w:hAnsi="Centaur"/>
          <w:lang w:val="is-IS"/>
        </w:rPr>
        <w:t xml:space="preserve">umsögn </w:t>
      </w:r>
      <w:r w:rsidR="00325949" w:rsidRPr="00D04F18">
        <w:rPr>
          <w:rFonts w:ascii="Centaur" w:hAnsi="Centaur"/>
          <w:lang w:val="is-IS"/>
        </w:rPr>
        <w:t>vegna verkefnisins. Skýrslan skal innihalda upplýsingar um framkvæmd verkefnisins og árangur við að uppfylla markmiðin sem tilgreind eru í styrkumsókn. Útskýra skal frávik</w:t>
      </w:r>
      <w:r w:rsidR="00325949" w:rsidRPr="00A21BA4">
        <w:rPr>
          <w:rFonts w:ascii="Centaur" w:hAnsi="Centaur"/>
          <w:lang w:val="is-IS"/>
        </w:rPr>
        <w:t xml:space="preserve"> og greina frá vandamálum, sem upp koma.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4.2</w:t>
      </w:r>
    </w:p>
    <w:p w:rsidR="00325949" w:rsidRDefault="00325949" w:rsidP="00713EB0">
      <w:pPr>
        <w:spacing w:before="120" w:line="320" w:lineRule="exact"/>
        <w:jc w:val="both"/>
        <w:rPr>
          <w:rFonts w:ascii="Centaur" w:hAnsi="Centaur"/>
          <w:lang w:val="is-IS"/>
        </w:rPr>
      </w:pPr>
      <w:r w:rsidRPr="00551924">
        <w:rPr>
          <w:rFonts w:ascii="Centaur" w:hAnsi="Centaur"/>
          <w:lang w:val="is-IS"/>
        </w:rPr>
        <w:t xml:space="preserve">Fyrir </w:t>
      </w:r>
      <w:r w:rsidR="00504C09">
        <w:rPr>
          <w:rFonts w:ascii="Centaur" w:hAnsi="Centaur"/>
          <w:lang w:val="is-IS"/>
        </w:rPr>
        <w:t>tímasetning</w:t>
      </w:r>
      <w:r w:rsidR="00866DE0" w:rsidRPr="00551924">
        <w:rPr>
          <w:rFonts w:ascii="Centaur" w:hAnsi="Centaur"/>
          <w:lang w:val="is-IS"/>
        </w:rPr>
        <w:t xml:space="preserve"> </w:t>
      </w:r>
      <w:r w:rsidRPr="00551924">
        <w:rPr>
          <w:rFonts w:ascii="Centaur" w:hAnsi="Centaur"/>
          <w:lang w:val="is-IS"/>
        </w:rPr>
        <w:t>skal</w:t>
      </w:r>
      <w:r w:rsidR="00B97E1F">
        <w:rPr>
          <w:rFonts w:ascii="Centaur" w:hAnsi="Centaur"/>
          <w:lang w:val="is-IS"/>
        </w:rPr>
        <w:t xml:space="preserve"> </w:t>
      </w:r>
      <w:r w:rsidR="00504C09">
        <w:rPr>
          <w:rFonts w:ascii="Centaur" w:hAnsi="Centaur"/>
          <w:lang w:val="is-IS"/>
        </w:rPr>
        <w:t>félagið</w:t>
      </w:r>
      <w:r w:rsidRPr="00551924">
        <w:rPr>
          <w:rFonts w:ascii="Centaur" w:hAnsi="Centaur"/>
          <w:lang w:val="is-IS"/>
        </w:rPr>
        <w:t xml:space="preserve"> skila árituðum reikningum til UTN, sem sýni tekjur og útgjöld verkefnisins.</w:t>
      </w:r>
      <w:r w:rsidRPr="00A21BA4">
        <w:rPr>
          <w:rFonts w:ascii="Centaur" w:hAnsi="Centaur"/>
          <w:lang w:val="is-IS"/>
        </w:rPr>
        <w:t xml:space="preserve"> Reikningarnir skulu áritaðir af gjaldkera og formanni/forstöðumanni RKÍ.</w:t>
      </w:r>
    </w:p>
    <w:p w:rsidR="008B4283" w:rsidRPr="00A21BA4" w:rsidRDefault="008B4283" w:rsidP="00713EB0">
      <w:pPr>
        <w:spacing w:before="120" w:line="320" w:lineRule="exact"/>
        <w:jc w:val="both"/>
        <w:rPr>
          <w:rFonts w:ascii="Centaur" w:hAnsi="Centaur"/>
          <w:color w:val="FF0000"/>
          <w:lang w:val="is-IS"/>
        </w:rPr>
      </w:pP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4.3</w:t>
      </w:r>
    </w:p>
    <w:p w:rsidR="00325949" w:rsidRPr="00A21BA4" w:rsidRDefault="00504C09" w:rsidP="00713EB0">
      <w:pPr>
        <w:spacing w:before="120" w:line="320" w:lineRule="exact"/>
        <w:rPr>
          <w:rFonts w:ascii="Centaur" w:hAnsi="Centaur"/>
          <w:lang w:val="is-IS"/>
        </w:rPr>
      </w:pPr>
      <w:r>
        <w:rPr>
          <w:rFonts w:ascii="Centaur" w:hAnsi="Centaur"/>
          <w:lang w:val="is-IS"/>
        </w:rPr>
        <w:lastRenderedPageBreak/>
        <w:t xml:space="preserve">Félagið </w:t>
      </w:r>
      <w:r w:rsidR="00325949" w:rsidRPr="00A21BA4">
        <w:rPr>
          <w:rFonts w:ascii="Centaur" w:hAnsi="Centaur"/>
          <w:lang w:val="is-IS"/>
        </w:rPr>
        <w:t>skal skila UTN endurskoðuðum ársreikningum samtakanna fyrir árið 20</w:t>
      </w:r>
      <w:r w:rsidR="00DA32D6" w:rsidRPr="00A21BA4">
        <w:rPr>
          <w:rFonts w:ascii="Centaur" w:hAnsi="Centaur"/>
          <w:lang w:val="is-IS"/>
        </w:rPr>
        <w:t>1</w:t>
      </w:r>
      <w:r w:rsidR="00551924">
        <w:rPr>
          <w:rFonts w:ascii="Centaur" w:hAnsi="Centaur"/>
          <w:lang w:val="is-IS"/>
        </w:rPr>
        <w:t>4</w:t>
      </w:r>
      <w:r w:rsidR="00325949" w:rsidRPr="00A21BA4">
        <w:rPr>
          <w:rFonts w:ascii="Centaur" w:hAnsi="Centaur"/>
          <w:lang w:val="is-IS"/>
        </w:rPr>
        <w:t>.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5. gr.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Upplýsingaskylda</w:t>
      </w:r>
    </w:p>
    <w:p w:rsidR="00325949" w:rsidRPr="00A21BA4" w:rsidRDefault="00504C09" w:rsidP="00713EB0">
      <w:pPr>
        <w:spacing w:before="120" w:line="320" w:lineRule="exact"/>
        <w:rPr>
          <w:rFonts w:ascii="Centaur" w:hAnsi="Centaur"/>
          <w:lang w:val="is-IS"/>
        </w:rPr>
      </w:pPr>
      <w:r>
        <w:rPr>
          <w:rFonts w:ascii="Centaur" w:hAnsi="Centaur"/>
          <w:lang w:val="is-IS"/>
        </w:rPr>
        <w:t xml:space="preserve">Félagið </w:t>
      </w:r>
      <w:r w:rsidR="00325949" w:rsidRPr="00A21BA4">
        <w:rPr>
          <w:rFonts w:ascii="Centaur" w:hAnsi="Centaur"/>
          <w:lang w:val="is-IS"/>
        </w:rPr>
        <w:t>skal án tafar tilkynna UTN skriflega um aðstæður sem hindra eða gætu hindrað árangursríka framkvæmd verkefnisins.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6. gr.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Eftirlit</w:t>
      </w:r>
    </w:p>
    <w:p w:rsidR="00325949" w:rsidRPr="00A21BA4" w:rsidRDefault="00325949" w:rsidP="00713EB0">
      <w:pPr>
        <w:spacing w:before="120" w:line="320" w:lineRule="exact"/>
        <w:jc w:val="both"/>
        <w:rPr>
          <w:rFonts w:ascii="Centaur" w:hAnsi="Centaur"/>
          <w:lang w:val="is-IS"/>
        </w:rPr>
      </w:pPr>
      <w:r w:rsidRPr="00A21BA4">
        <w:rPr>
          <w:rFonts w:ascii="Centaur" w:hAnsi="Centaur"/>
          <w:lang w:val="is-IS"/>
        </w:rPr>
        <w:t>UTN áskilur sér rétt til að senda fulltrúa sinn í vettvangsheimsókn vegna þessa samnings og skoða gögn, eigur og skjöl sem varða verkefnið.</w:t>
      </w:r>
    </w:p>
    <w:p w:rsidR="00325949" w:rsidRPr="00A21BA4" w:rsidRDefault="00325949" w:rsidP="00713EB0">
      <w:pPr>
        <w:spacing w:before="120" w:line="320" w:lineRule="exact"/>
        <w:jc w:val="both"/>
        <w:rPr>
          <w:rFonts w:ascii="Centaur" w:hAnsi="Centaur"/>
          <w:lang w:val="is-IS"/>
        </w:rPr>
      </w:pPr>
      <w:r w:rsidRPr="00A21BA4">
        <w:rPr>
          <w:rFonts w:ascii="Centaur" w:hAnsi="Centaur"/>
          <w:lang w:val="is-IS"/>
        </w:rPr>
        <w:t>UTN áskilur sér rétt til að láta fara fram sjálfstæða skoðun á framvindu og fjárreiðum verkefnisins, samanber 7. grein laga nr. 86/1997. Lögin veita Ríkisendurskoðun heimild til að krefjast reikningsskila af stofnunum, samtökum, sjóðum og öðrum sem fá fé eða ábyrgðir frá ríkinu. Einnig heim</w:t>
      </w:r>
      <w:r w:rsidR="00BA2E5C" w:rsidRPr="00A21BA4">
        <w:rPr>
          <w:rFonts w:ascii="Centaur" w:hAnsi="Centaur"/>
          <w:lang w:val="is-IS"/>
        </w:rPr>
        <w:t>i</w:t>
      </w:r>
      <w:r w:rsidRPr="00A21BA4">
        <w:rPr>
          <w:rFonts w:ascii="Centaur" w:hAnsi="Centaur"/>
          <w:lang w:val="is-IS"/>
        </w:rPr>
        <w:t>la þau að kalla eftir greinargerðum um ráðstöfun styrkja og annarra framlaga af ríkisfé til þess m.a. að meta hvort þau hafi skilað þeim árangri sem að var stefnt, sbr. 2 mgr. 9. gr. sömu laga.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7. gr.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Góðir starfshættir</w:t>
      </w:r>
    </w:p>
    <w:p w:rsidR="00325949" w:rsidRPr="00A21BA4" w:rsidRDefault="00325949" w:rsidP="00713EB0">
      <w:pPr>
        <w:spacing w:before="120" w:line="320" w:lineRule="exact"/>
        <w:jc w:val="both"/>
        <w:rPr>
          <w:rFonts w:ascii="Centaur" w:hAnsi="Centaur"/>
          <w:lang w:val="is-IS"/>
        </w:rPr>
      </w:pPr>
      <w:r w:rsidRPr="00A21BA4">
        <w:rPr>
          <w:rFonts w:ascii="Centaur" w:hAnsi="Centaur"/>
          <w:lang w:val="is-IS"/>
        </w:rPr>
        <w:t>Aðilar skuldbinda sig til að starfa samkvæmt samþykkt Evrópuráðsins gegn spillingu (Civil Law Convention on Corruption CETS No. 174) og sambærilegum ákvæðum í siðareglum UTN.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8. gr.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Riftun samnings og stöðvun greiðslna</w:t>
      </w:r>
    </w:p>
    <w:p w:rsidR="00325949" w:rsidRPr="00A21BA4" w:rsidRDefault="00325949" w:rsidP="00713EB0">
      <w:pPr>
        <w:spacing w:before="120" w:line="320" w:lineRule="exact"/>
        <w:jc w:val="both"/>
        <w:rPr>
          <w:rFonts w:ascii="Centaur" w:hAnsi="Centaur"/>
          <w:lang w:val="is-IS"/>
        </w:rPr>
      </w:pPr>
      <w:r w:rsidRPr="00A21BA4">
        <w:rPr>
          <w:rFonts w:ascii="Centaur" w:hAnsi="Centaur"/>
          <w:lang w:val="is-IS"/>
        </w:rPr>
        <w:t>UTN hefur rétt til að rifta samningi, stöðva greiðslur og/eða krefjast endurgreiðslna á hluta eða öllum styrknum:</w:t>
      </w:r>
    </w:p>
    <w:p w:rsidR="00325949" w:rsidRPr="00A21BA4" w:rsidRDefault="00325949" w:rsidP="009F0394">
      <w:pPr>
        <w:numPr>
          <w:ilvl w:val="0"/>
          <w:numId w:val="2"/>
        </w:numPr>
        <w:spacing w:before="120" w:line="320" w:lineRule="exact"/>
        <w:jc w:val="both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lang w:val="is-IS"/>
        </w:rPr>
        <w:t>Hafi fullnægjandi skýrslum ekki verið skilað skv. ákvæðum 4.1 – 4.3 og 5. gr.</w:t>
      </w:r>
    </w:p>
    <w:p w:rsidR="00325949" w:rsidRPr="00A21BA4" w:rsidRDefault="00325949" w:rsidP="009F0394">
      <w:pPr>
        <w:numPr>
          <w:ilvl w:val="0"/>
          <w:numId w:val="2"/>
        </w:numPr>
        <w:spacing w:before="120" w:line="320" w:lineRule="exact"/>
        <w:jc w:val="both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iCs/>
          <w:spacing w:val="-3"/>
          <w:lang w:val="is-IS"/>
        </w:rPr>
        <w:t xml:space="preserve">Hafi niðurstaða skoðunar leitt í ljós að </w:t>
      </w:r>
      <w:r w:rsidRPr="00A21BA4">
        <w:rPr>
          <w:rFonts w:ascii="Centaur" w:hAnsi="Centaur"/>
          <w:lang w:val="is-IS"/>
        </w:rPr>
        <w:t>fjármálastjórn/reikningsskilum er ábótavant.</w:t>
      </w:r>
    </w:p>
    <w:p w:rsidR="00325949" w:rsidRPr="00A21BA4" w:rsidRDefault="00325949" w:rsidP="009F0394">
      <w:pPr>
        <w:numPr>
          <w:ilvl w:val="0"/>
          <w:numId w:val="2"/>
        </w:numPr>
        <w:spacing w:before="120" w:line="320" w:lineRule="exact"/>
        <w:jc w:val="both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lang w:val="is-IS"/>
        </w:rPr>
        <w:t xml:space="preserve">Hafi UTN </w:t>
      </w:r>
      <w:r w:rsidRPr="00A21BA4">
        <w:rPr>
          <w:rFonts w:ascii="Centaur" w:hAnsi="Centaur"/>
          <w:iCs/>
          <w:spacing w:val="-3"/>
          <w:lang w:val="is-IS"/>
        </w:rPr>
        <w:t>eða Ríkisendurskoðun ekki verið veittur fullnægjandi aðgangur að gögnum.</w:t>
      </w:r>
    </w:p>
    <w:p w:rsidR="00325949" w:rsidRPr="00A21BA4" w:rsidRDefault="00325949" w:rsidP="009F0394">
      <w:pPr>
        <w:numPr>
          <w:ilvl w:val="0"/>
          <w:numId w:val="2"/>
        </w:numPr>
        <w:spacing w:before="120" w:line="320" w:lineRule="exact"/>
        <w:jc w:val="both"/>
        <w:rPr>
          <w:rFonts w:ascii="Centaur" w:hAnsi="Centaur"/>
          <w:lang w:val="is-IS"/>
        </w:rPr>
      </w:pPr>
      <w:r w:rsidRPr="00A21BA4">
        <w:rPr>
          <w:rFonts w:ascii="Centaur" w:hAnsi="Centaur"/>
          <w:lang w:val="is-IS"/>
        </w:rPr>
        <w:t>Hafi verið brotið gegn 7. gr. um góða starfshætti.</w:t>
      </w:r>
    </w:p>
    <w:p w:rsidR="00325949" w:rsidRPr="00A21BA4" w:rsidRDefault="00325949" w:rsidP="00713EB0">
      <w:pPr>
        <w:spacing w:before="120" w:line="320" w:lineRule="exact"/>
        <w:jc w:val="both"/>
        <w:rPr>
          <w:rFonts w:ascii="Centaur" w:hAnsi="Centaur"/>
          <w:lang w:val="is-IS"/>
        </w:rPr>
      </w:pPr>
      <w:r w:rsidRPr="00A21BA4">
        <w:rPr>
          <w:rFonts w:ascii="Centaur" w:hAnsi="Centaur"/>
          <w:lang w:val="is-IS"/>
        </w:rPr>
        <w:t>Vegna staðfests gruns um sviksamlegt eða spillt hátterni af hálfu fulltrúa styrkþega eða annarra aðila (e. beneficiaries) við framkvæmd verkefnisins, s.s. við kaup á vörum og þjónustu, hafi ekki verið gripið til viðeigandi ráðstafana af yfirstjórn.</w:t>
      </w:r>
    </w:p>
    <w:p w:rsidR="00325949" w:rsidRPr="00A21BA4" w:rsidRDefault="00325949" w:rsidP="00713EB0">
      <w:pPr>
        <w:pStyle w:val="BodyText2"/>
        <w:spacing w:line="320" w:lineRule="exact"/>
        <w:jc w:val="center"/>
        <w:rPr>
          <w:rFonts w:ascii="Centaur" w:hAnsi="Centaur"/>
          <w:b/>
          <w:lang w:val="is-IS"/>
        </w:rPr>
      </w:pPr>
    </w:p>
    <w:p w:rsidR="00325949" w:rsidRPr="00A21BA4" w:rsidRDefault="00325949" w:rsidP="00713EB0">
      <w:pPr>
        <w:pStyle w:val="BodyText2"/>
        <w:spacing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9. gr.</w:t>
      </w:r>
    </w:p>
    <w:p w:rsidR="00325949" w:rsidRPr="00A21BA4" w:rsidRDefault="00325949" w:rsidP="00713EB0">
      <w:pPr>
        <w:pStyle w:val="BodyText2"/>
        <w:spacing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Force majeure</w:t>
      </w:r>
    </w:p>
    <w:p w:rsidR="00325949" w:rsidRPr="00A21BA4" w:rsidRDefault="00325949" w:rsidP="00713EB0">
      <w:pPr>
        <w:spacing w:before="120" w:line="320" w:lineRule="exact"/>
        <w:jc w:val="both"/>
        <w:rPr>
          <w:rFonts w:ascii="Centaur" w:hAnsi="Centaur"/>
          <w:color w:val="FF0000"/>
          <w:lang w:val="is-IS"/>
        </w:rPr>
      </w:pPr>
      <w:r w:rsidRPr="00A21BA4">
        <w:rPr>
          <w:rFonts w:ascii="Centaur" w:hAnsi="Centaur"/>
          <w:lang w:val="is-IS"/>
        </w:rPr>
        <w:t xml:space="preserve">Komi upp óviðráðanleg staða vegna ófyrirséðra orsaka (force majeure), t.d. viðskiptahamla, flutningsskaða, eldsvoða, farsóttar, verkfalla, náttúruhamfara, stríðsástands, hryðjuverka, hópslysa eða </w:t>
      </w:r>
      <w:r w:rsidRPr="00A21BA4">
        <w:rPr>
          <w:rFonts w:ascii="Centaur" w:hAnsi="Centaur"/>
          <w:lang w:val="is-IS"/>
        </w:rPr>
        <w:lastRenderedPageBreak/>
        <w:t>truflunar á fjarskiptum eða orkuveitum, skulu aðilar meta stöðuna um framhald verksins og ábyrgð hvors aðila skv. samningnum</w:t>
      </w:r>
      <w:r w:rsidRPr="00A21BA4">
        <w:rPr>
          <w:rFonts w:ascii="Centaur" w:hAnsi="Centaur" w:cs="Arial"/>
          <w:color w:val="FF0000"/>
          <w:sz w:val="22"/>
          <w:szCs w:val="22"/>
          <w:lang w:val="is-IS"/>
        </w:rPr>
        <w:t>.</w:t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10. gr.</w:t>
      </w:r>
    </w:p>
    <w:p w:rsidR="00325949" w:rsidRPr="00A21BA4" w:rsidRDefault="00325949" w:rsidP="00713EB0">
      <w:pPr>
        <w:spacing w:line="320" w:lineRule="exact"/>
        <w:jc w:val="center"/>
        <w:rPr>
          <w:rFonts w:ascii="Centaur" w:hAnsi="Centaur"/>
          <w:lang w:val="is-IS"/>
        </w:rPr>
      </w:pPr>
      <w:r w:rsidRPr="00A21BA4">
        <w:rPr>
          <w:rFonts w:ascii="Centaur" w:hAnsi="Centaur"/>
          <w:b/>
          <w:lang w:val="is-IS"/>
        </w:rPr>
        <w:t>Ágreiningur</w:t>
      </w:r>
    </w:p>
    <w:p w:rsidR="00325949" w:rsidRPr="00A21BA4" w:rsidRDefault="00325949" w:rsidP="00713EB0">
      <w:pPr>
        <w:spacing w:line="320" w:lineRule="exact"/>
        <w:rPr>
          <w:rFonts w:ascii="Centaur" w:hAnsi="Centaur"/>
          <w:lang w:val="is-IS"/>
        </w:rPr>
      </w:pPr>
      <w:r w:rsidRPr="00A21BA4">
        <w:rPr>
          <w:rFonts w:ascii="Centaur" w:hAnsi="Centaur"/>
          <w:lang w:val="is-IS"/>
        </w:rPr>
        <w:t>Aðilar skulu leitast við að ná sáttum vegna ágreinings um framkvæmd eða túlkun þessa samnings. Dómsmál vegna ágreinings skal rekið fyrir Héraðsdómi Reykjavíkur.</w:t>
      </w:r>
    </w:p>
    <w:p w:rsidR="00325949" w:rsidRPr="00A21BA4" w:rsidRDefault="00325949" w:rsidP="00713EB0">
      <w:pPr>
        <w:spacing w:line="320" w:lineRule="exact"/>
        <w:rPr>
          <w:rFonts w:ascii="Centaur" w:hAnsi="Centaur"/>
          <w:lang w:val="is-IS"/>
        </w:rPr>
      </w:pPr>
    </w:p>
    <w:p w:rsidR="00325949" w:rsidRPr="00A21BA4" w:rsidRDefault="00325949" w:rsidP="00713EB0">
      <w:pPr>
        <w:spacing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11. gr.</w:t>
      </w:r>
    </w:p>
    <w:p w:rsidR="00325949" w:rsidRPr="00A21BA4" w:rsidRDefault="00325949" w:rsidP="00713EB0">
      <w:pPr>
        <w:spacing w:line="320" w:lineRule="exact"/>
        <w:jc w:val="center"/>
        <w:rPr>
          <w:rFonts w:ascii="Centaur" w:hAnsi="Centaur"/>
          <w:b/>
          <w:lang w:val="is-IS"/>
        </w:rPr>
      </w:pPr>
      <w:r w:rsidRPr="00A21BA4">
        <w:rPr>
          <w:rFonts w:ascii="Centaur" w:hAnsi="Centaur"/>
          <w:b/>
          <w:lang w:val="is-IS"/>
        </w:rPr>
        <w:t>Undirskrift</w:t>
      </w:r>
    </w:p>
    <w:p w:rsidR="00325949" w:rsidRPr="00A21BA4" w:rsidRDefault="00325949" w:rsidP="00713EB0">
      <w:pPr>
        <w:spacing w:line="320" w:lineRule="exact"/>
        <w:rPr>
          <w:rFonts w:ascii="Centaur" w:hAnsi="Centaur"/>
          <w:lang w:val="is-IS"/>
        </w:rPr>
      </w:pPr>
    </w:p>
    <w:p w:rsidR="00325949" w:rsidRPr="00A21BA4" w:rsidRDefault="00325949" w:rsidP="00713EB0">
      <w:pPr>
        <w:spacing w:line="320" w:lineRule="exact"/>
        <w:rPr>
          <w:rFonts w:ascii="Centaur" w:hAnsi="Centaur"/>
          <w:lang w:val="is-IS"/>
        </w:rPr>
      </w:pPr>
      <w:r w:rsidRPr="00A21BA4">
        <w:rPr>
          <w:rFonts w:ascii="Centaur" w:hAnsi="Centaur"/>
          <w:lang w:val="is-IS"/>
        </w:rPr>
        <w:t>Skilyrði og skilmálar þessa samnings eru hér með samþykktir.</w:t>
      </w:r>
    </w:p>
    <w:p w:rsidR="00325949" w:rsidRPr="00A21BA4" w:rsidRDefault="00325949" w:rsidP="00713EB0">
      <w:pPr>
        <w:spacing w:line="320" w:lineRule="exact"/>
        <w:rPr>
          <w:rFonts w:ascii="Centaur" w:hAnsi="Centaur"/>
          <w:lang w:val="is-IS"/>
        </w:rPr>
      </w:pPr>
    </w:p>
    <w:p w:rsidR="00BA2E5C" w:rsidRPr="00A21BA4" w:rsidRDefault="00BA2E5C" w:rsidP="00713EB0">
      <w:pPr>
        <w:spacing w:line="320" w:lineRule="exact"/>
        <w:jc w:val="center"/>
        <w:rPr>
          <w:rFonts w:ascii="Centaur" w:hAnsi="Centaur"/>
          <w:lang w:val="is-IS"/>
        </w:rPr>
      </w:pPr>
    </w:p>
    <w:p w:rsidR="00BA2E5C" w:rsidRPr="00A21BA4" w:rsidRDefault="00BA2E5C" w:rsidP="00713EB0">
      <w:pPr>
        <w:spacing w:line="320" w:lineRule="exact"/>
        <w:jc w:val="center"/>
        <w:rPr>
          <w:rFonts w:ascii="Centaur" w:hAnsi="Centaur"/>
          <w:lang w:val="is-IS"/>
        </w:rPr>
      </w:pPr>
    </w:p>
    <w:p w:rsidR="00325949" w:rsidRPr="00A21BA4" w:rsidRDefault="00325949" w:rsidP="00713EB0">
      <w:pPr>
        <w:spacing w:line="320" w:lineRule="exact"/>
        <w:jc w:val="center"/>
        <w:rPr>
          <w:rFonts w:ascii="Centaur" w:hAnsi="Centaur"/>
          <w:lang w:val="is-IS"/>
        </w:rPr>
      </w:pPr>
      <w:r w:rsidRPr="00A21BA4">
        <w:rPr>
          <w:rFonts w:ascii="Centaur" w:hAnsi="Centaur"/>
          <w:lang w:val="is-IS"/>
        </w:rPr>
        <w:t xml:space="preserve">Reykjavík </w:t>
      </w:r>
      <w:r w:rsidR="00A21BA4">
        <w:rPr>
          <w:rFonts w:ascii="Centaur" w:hAnsi="Centaur"/>
          <w:lang w:val="is-IS"/>
        </w:rPr>
        <w:fldChar w:fldCharType="begin"/>
      </w:r>
      <w:r w:rsidR="00A21BA4">
        <w:rPr>
          <w:rFonts w:ascii="Centaur" w:hAnsi="Centaur"/>
          <w:lang w:val="is-IS"/>
        </w:rPr>
        <w:instrText xml:space="preserve"> TIME \@ "d.M.yyyy" </w:instrText>
      </w:r>
      <w:r w:rsidR="00A21BA4">
        <w:rPr>
          <w:rFonts w:ascii="Centaur" w:hAnsi="Centaur"/>
          <w:lang w:val="is-IS"/>
        </w:rPr>
        <w:fldChar w:fldCharType="separate"/>
      </w:r>
      <w:r w:rsidR="00D04F18">
        <w:rPr>
          <w:rFonts w:ascii="Centaur" w:hAnsi="Centaur"/>
          <w:noProof/>
          <w:lang w:val="is-IS"/>
        </w:rPr>
        <w:t>27.7.2015</w:t>
      </w:r>
      <w:r w:rsidR="00A21BA4">
        <w:rPr>
          <w:rFonts w:ascii="Centaur" w:hAnsi="Centaur"/>
          <w:lang w:val="is-IS"/>
        </w:rPr>
        <w:fldChar w:fldCharType="end"/>
      </w:r>
    </w:p>
    <w:p w:rsidR="00325949" w:rsidRPr="00A21BA4" w:rsidRDefault="00325949" w:rsidP="00713EB0">
      <w:pPr>
        <w:spacing w:before="120" w:line="320" w:lineRule="exact"/>
        <w:jc w:val="center"/>
        <w:rPr>
          <w:rFonts w:ascii="Centaur" w:hAnsi="Centaur"/>
          <w:b/>
          <w:color w:val="FF0000"/>
          <w:lang w:val="is-IS"/>
        </w:rPr>
      </w:pPr>
    </w:p>
    <w:p w:rsidR="00325949" w:rsidRPr="00A21BA4" w:rsidRDefault="00325949" w:rsidP="00713EB0">
      <w:pPr>
        <w:spacing w:before="120" w:line="320" w:lineRule="exact"/>
        <w:rPr>
          <w:rFonts w:ascii="Centaur" w:hAnsi="Centaur"/>
          <w:b/>
          <w:color w:val="FF0000"/>
          <w:lang w:val="is-IS"/>
        </w:rPr>
      </w:pPr>
    </w:p>
    <w:p w:rsidR="00325949" w:rsidRPr="00A21BA4" w:rsidRDefault="00325949" w:rsidP="00713EB0">
      <w:pPr>
        <w:spacing w:line="320" w:lineRule="exact"/>
        <w:jc w:val="both"/>
        <w:rPr>
          <w:rFonts w:ascii="Centaur" w:hAnsi="Centaur"/>
          <w:spacing w:val="-3"/>
          <w:sz w:val="22"/>
          <w:szCs w:val="22"/>
          <w:lang w:val="is-IS"/>
        </w:rPr>
      </w:pPr>
      <w:r w:rsidRPr="00A21BA4">
        <w:rPr>
          <w:rFonts w:ascii="Centaur" w:hAnsi="Centaur"/>
          <w:iCs/>
          <w:spacing w:val="-3"/>
          <w:sz w:val="22"/>
          <w:szCs w:val="22"/>
          <w:lang w:val="is-IS"/>
        </w:rPr>
        <w:t>f.h. Utanríkisráðuneytisins.</w:t>
      </w:r>
      <w:r w:rsidRPr="00A21BA4">
        <w:rPr>
          <w:rFonts w:ascii="Centaur" w:hAnsi="Centaur"/>
          <w:iCs/>
          <w:color w:val="FF0000"/>
          <w:spacing w:val="-3"/>
          <w:sz w:val="22"/>
          <w:szCs w:val="22"/>
          <w:lang w:val="is-IS"/>
        </w:rPr>
        <w:tab/>
      </w:r>
      <w:r w:rsidRPr="00A21BA4">
        <w:rPr>
          <w:rFonts w:ascii="Centaur" w:hAnsi="Centaur"/>
          <w:iCs/>
          <w:spacing w:val="-3"/>
          <w:sz w:val="22"/>
          <w:szCs w:val="22"/>
          <w:lang w:val="is-IS"/>
        </w:rPr>
        <w:tab/>
      </w:r>
      <w:r w:rsidRPr="00A21BA4">
        <w:rPr>
          <w:rFonts w:ascii="Centaur" w:hAnsi="Centaur"/>
          <w:iCs/>
          <w:spacing w:val="-3"/>
          <w:sz w:val="22"/>
          <w:szCs w:val="22"/>
          <w:lang w:val="is-IS"/>
        </w:rPr>
        <w:tab/>
      </w:r>
      <w:r w:rsidRPr="00A21BA4">
        <w:rPr>
          <w:rFonts w:ascii="Centaur" w:hAnsi="Centaur"/>
          <w:iCs/>
          <w:spacing w:val="-3"/>
          <w:sz w:val="22"/>
          <w:szCs w:val="22"/>
          <w:lang w:val="is-IS"/>
        </w:rPr>
        <w:tab/>
      </w:r>
      <w:r w:rsidR="008F7959">
        <w:rPr>
          <w:rFonts w:ascii="Centaur" w:hAnsi="Centaur"/>
          <w:iCs/>
          <w:spacing w:val="-3"/>
          <w:sz w:val="22"/>
          <w:szCs w:val="22"/>
          <w:lang w:val="is-IS"/>
        </w:rPr>
        <w:tab/>
      </w:r>
      <w:r w:rsidRPr="00A21BA4">
        <w:rPr>
          <w:rFonts w:ascii="Centaur" w:hAnsi="Centaur"/>
          <w:iCs/>
          <w:spacing w:val="-3"/>
          <w:sz w:val="22"/>
          <w:szCs w:val="22"/>
          <w:lang w:val="is-IS"/>
        </w:rPr>
        <w:t xml:space="preserve">f.h. </w:t>
      </w:r>
    </w:p>
    <w:p w:rsidR="00325949" w:rsidRPr="00A21BA4" w:rsidRDefault="00325949" w:rsidP="00713EB0">
      <w:pPr>
        <w:spacing w:line="320" w:lineRule="exact"/>
        <w:rPr>
          <w:rFonts w:ascii="Centaur" w:hAnsi="Centaur"/>
          <w:spacing w:val="-3"/>
          <w:sz w:val="22"/>
          <w:szCs w:val="22"/>
          <w:lang w:val="is-IS"/>
        </w:rPr>
      </w:pPr>
    </w:p>
    <w:p w:rsidR="00325949" w:rsidRPr="00A21BA4" w:rsidRDefault="00950E5B" w:rsidP="00713EB0">
      <w:pPr>
        <w:spacing w:line="320" w:lineRule="exact"/>
        <w:rPr>
          <w:rFonts w:ascii="Centaur" w:hAnsi="Centaur"/>
          <w:spacing w:val="-3"/>
          <w:sz w:val="22"/>
          <w:szCs w:val="22"/>
          <w:lang w:val="is-IS"/>
        </w:rPr>
      </w:pPr>
      <w:r w:rsidRPr="00A21BA4">
        <w:rPr>
          <w:rFonts w:ascii="Centaur" w:hAnsi="Centaur"/>
          <w:spacing w:val="-3"/>
          <w:sz w:val="22"/>
          <w:szCs w:val="22"/>
          <w:lang w:val="is-IS"/>
        </w:rPr>
        <w:t>--------------------------------------------------------</w:t>
      </w:r>
      <w:r w:rsidRPr="00A21BA4">
        <w:rPr>
          <w:rFonts w:ascii="Centaur" w:hAnsi="Centaur"/>
          <w:spacing w:val="-3"/>
          <w:sz w:val="22"/>
          <w:szCs w:val="22"/>
          <w:lang w:val="is-IS"/>
        </w:rPr>
        <w:tab/>
      </w:r>
      <w:r w:rsidRPr="00A21BA4">
        <w:rPr>
          <w:rFonts w:ascii="Centaur" w:hAnsi="Centaur"/>
          <w:spacing w:val="-3"/>
          <w:sz w:val="22"/>
          <w:szCs w:val="22"/>
          <w:lang w:val="is-IS"/>
        </w:rPr>
        <w:tab/>
        <w:t>--------------------------------------------------</w:t>
      </w:r>
    </w:p>
    <w:p w:rsidR="00325949" w:rsidRPr="00A21BA4" w:rsidRDefault="00325949" w:rsidP="00713EB0">
      <w:pPr>
        <w:spacing w:line="320" w:lineRule="exact"/>
        <w:rPr>
          <w:rFonts w:ascii="Centaur" w:hAnsi="Centaur"/>
          <w:spacing w:val="-3"/>
          <w:sz w:val="22"/>
          <w:szCs w:val="22"/>
          <w:lang w:val="is-IS"/>
        </w:rPr>
      </w:pPr>
      <w:r w:rsidRPr="00A21BA4">
        <w:rPr>
          <w:rFonts w:ascii="Centaur" w:hAnsi="Centaur"/>
          <w:spacing w:val="-3"/>
          <w:sz w:val="22"/>
          <w:szCs w:val="22"/>
          <w:lang w:val="is-IS"/>
        </w:rPr>
        <w:tab/>
      </w:r>
      <w:r w:rsidR="00641052" w:rsidRPr="00A21BA4">
        <w:rPr>
          <w:rFonts w:ascii="Centaur" w:hAnsi="Centaur"/>
          <w:spacing w:val="-3"/>
          <w:sz w:val="22"/>
          <w:szCs w:val="22"/>
          <w:lang w:val="is-IS"/>
        </w:rPr>
        <w:tab/>
      </w:r>
      <w:r w:rsidR="00F41C61" w:rsidRPr="00A21BA4">
        <w:rPr>
          <w:rFonts w:ascii="Centaur" w:hAnsi="Centaur"/>
          <w:spacing w:val="-3"/>
          <w:sz w:val="22"/>
          <w:szCs w:val="22"/>
          <w:lang w:val="is-IS"/>
        </w:rPr>
        <w:t xml:space="preserve"> </w:t>
      </w:r>
    </w:p>
    <w:p w:rsidR="00C74E8D" w:rsidRPr="00F957B2" w:rsidRDefault="00C74E8D" w:rsidP="00713EB0">
      <w:pPr>
        <w:rPr>
          <w:rFonts w:ascii="Centaur" w:hAnsi="Centaur"/>
          <w:lang w:val="is-IS"/>
        </w:rPr>
      </w:pPr>
    </w:p>
    <w:sectPr w:rsidR="00C74E8D" w:rsidRPr="00F957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2D" w:rsidRDefault="005A0B2D" w:rsidP="00FF6F78">
      <w:r>
        <w:separator/>
      </w:r>
    </w:p>
  </w:endnote>
  <w:endnote w:type="continuationSeparator" w:id="0">
    <w:p w:rsidR="005A0B2D" w:rsidRDefault="005A0B2D" w:rsidP="00FF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2D" w:rsidRDefault="005A0B2D" w:rsidP="00FF6F78">
      <w:r>
        <w:separator/>
      </w:r>
    </w:p>
  </w:footnote>
  <w:footnote w:type="continuationSeparator" w:id="0">
    <w:p w:rsidR="005A0B2D" w:rsidRDefault="005A0B2D" w:rsidP="00FF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2D" w:rsidRPr="009F0394" w:rsidRDefault="005A0B2D" w:rsidP="00FF6F78">
    <w:pPr>
      <w:autoSpaceDE w:val="0"/>
      <w:autoSpaceDN w:val="0"/>
      <w:adjustRightInd w:val="0"/>
      <w:spacing w:before="120" w:after="120"/>
      <w:rPr>
        <w:rFonts w:ascii="Centaur" w:hAnsi="Centaur" w:cs="Helv"/>
        <w:color w:val="000000"/>
        <w:sz w:val="22"/>
        <w:szCs w:val="20"/>
        <w:lang w:val="is-IS" w:eastAsia="is-IS"/>
      </w:rPr>
    </w:pPr>
    <w:r w:rsidRPr="009F0394">
      <w:rPr>
        <w:rFonts w:ascii="Centaur" w:hAnsi="Centaur" w:cs="Helv"/>
        <w:color w:val="000000"/>
        <w:sz w:val="22"/>
        <w:szCs w:val="20"/>
        <w:lang w:val="is-IS" w:eastAsia="is-IS"/>
      </w:rPr>
      <w:t>U</w:t>
    </w:r>
    <w:r w:rsidR="008B4283">
      <w:rPr>
        <w:rFonts w:ascii="Centaur" w:hAnsi="Centaur" w:cs="Helv"/>
        <w:color w:val="000000"/>
        <w:sz w:val="22"/>
        <w:szCs w:val="20"/>
        <w:lang w:val="is-IS" w:eastAsia="is-IS"/>
      </w:rPr>
      <w:t>TN14040112</w:t>
    </w:r>
  </w:p>
  <w:p w:rsidR="005A0B2D" w:rsidRDefault="005A0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7C5A"/>
    <w:multiLevelType w:val="hybridMultilevel"/>
    <w:tmpl w:val="D24646BE"/>
    <w:lvl w:ilvl="0" w:tplc="B39857A4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C58C2"/>
    <w:multiLevelType w:val="hybridMultilevel"/>
    <w:tmpl w:val="B61AA1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141EB"/>
    <w:multiLevelType w:val="hybridMultilevel"/>
    <w:tmpl w:val="3E189A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49"/>
    <w:rsid w:val="00013352"/>
    <w:rsid w:val="001D0791"/>
    <w:rsid w:val="00325949"/>
    <w:rsid w:val="0039522F"/>
    <w:rsid w:val="003D55EA"/>
    <w:rsid w:val="00504C09"/>
    <w:rsid w:val="0053788C"/>
    <w:rsid w:val="00551924"/>
    <w:rsid w:val="00580530"/>
    <w:rsid w:val="005A0B2D"/>
    <w:rsid w:val="005B64E4"/>
    <w:rsid w:val="005C34E5"/>
    <w:rsid w:val="00641052"/>
    <w:rsid w:val="00641D25"/>
    <w:rsid w:val="006536C3"/>
    <w:rsid w:val="00677125"/>
    <w:rsid w:val="00713EB0"/>
    <w:rsid w:val="00724F78"/>
    <w:rsid w:val="007B6D5B"/>
    <w:rsid w:val="007D6D46"/>
    <w:rsid w:val="007D7AFA"/>
    <w:rsid w:val="007E4567"/>
    <w:rsid w:val="008018C9"/>
    <w:rsid w:val="00866DE0"/>
    <w:rsid w:val="008B4283"/>
    <w:rsid w:val="008F7959"/>
    <w:rsid w:val="00923E23"/>
    <w:rsid w:val="0093151C"/>
    <w:rsid w:val="00950E5B"/>
    <w:rsid w:val="009E256B"/>
    <w:rsid w:val="009E5679"/>
    <w:rsid w:val="009F0394"/>
    <w:rsid w:val="00A15395"/>
    <w:rsid w:val="00A21BA4"/>
    <w:rsid w:val="00A3684F"/>
    <w:rsid w:val="00A90890"/>
    <w:rsid w:val="00A91529"/>
    <w:rsid w:val="00AE354C"/>
    <w:rsid w:val="00B37CAE"/>
    <w:rsid w:val="00B97E1F"/>
    <w:rsid w:val="00BA2E5C"/>
    <w:rsid w:val="00BD3B29"/>
    <w:rsid w:val="00C74E8D"/>
    <w:rsid w:val="00CD3AEF"/>
    <w:rsid w:val="00D04F18"/>
    <w:rsid w:val="00D77283"/>
    <w:rsid w:val="00DA32D6"/>
    <w:rsid w:val="00E41F6B"/>
    <w:rsid w:val="00EB6529"/>
    <w:rsid w:val="00EF14D3"/>
    <w:rsid w:val="00F043DE"/>
    <w:rsid w:val="00F41C61"/>
    <w:rsid w:val="00F805B8"/>
    <w:rsid w:val="00F957B2"/>
    <w:rsid w:val="00FA518D"/>
    <w:rsid w:val="00FE2089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9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25949"/>
    <w:pPr>
      <w:spacing w:after="120" w:line="480" w:lineRule="auto"/>
    </w:pPr>
  </w:style>
  <w:style w:type="character" w:styleId="CommentReference">
    <w:name w:val="annotation reference"/>
    <w:rsid w:val="00F41C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1C61"/>
    <w:rPr>
      <w:sz w:val="20"/>
      <w:szCs w:val="20"/>
    </w:rPr>
  </w:style>
  <w:style w:type="character" w:customStyle="1" w:styleId="CommentTextChar">
    <w:name w:val="Comment Text Char"/>
    <w:link w:val="CommentText"/>
    <w:rsid w:val="00F41C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1C61"/>
    <w:rPr>
      <w:b/>
      <w:bCs/>
    </w:rPr>
  </w:style>
  <w:style w:type="character" w:customStyle="1" w:styleId="CommentSubjectChar">
    <w:name w:val="Comment Subject Char"/>
    <w:link w:val="CommentSubject"/>
    <w:rsid w:val="00F41C6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41C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1C6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FF6F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6F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F6F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F6F78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21B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9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25949"/>
    <w:pPr>
      <w:spacing w:after="120" w:line="480" w:lineRule="auto"/>
    </w:pPr>
  </w:style>
  <w:style w:type="character" w:styleId="CommentReference">
    <w:name w:val="annotation reference"/>
    <w:rsid w:val="00F41C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1C61"/>
    <w:rPr>
      <w:sz w:val="20"/>
      <w:szCs w:val="20"/>
    </w:rPr>
  </w:style>
  <w:style w:type="character" w:customStyle="1" w:styleId="CommentTextChar">
    <w:name w:val="Comment Text Char"/>
    <w:link w:val="CommentText"/>
    <w:rsid w:val="00F41C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1C61"/>
    <w:rPr>
      <w:b/>
      <w:bCs/>
    </w:rPr>
  </w:style>
  <w:style w:type="character" w:customStyle="1" w:styleId="CommentSubjectChar">
    <w:name w:val="Comment Subject Char"/>
    <w:link w:val="CommentSubject"/>
    <w:rsid w:val="00F41C6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41C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1C6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FF6F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6F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F6F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F6F78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21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E0D0647BFC4E8CA67A92F12390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3D8A-5C41-474C-9DE7-669B0ACCB4DC}"/>
      </w:docPartPr>
      <w:docPartBody>
        <w:p w:rsidR="00D80A8B" w:rsidRDefault="00554C35">
          <w:r w:rsidRPr="006B2AF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35"/>
    <w:rsid w:val="00554C35"/>
    <w:rsid w:val="00D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C3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C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Samningur</vt:lpstr>
    </vt:vector>
  </TitlesOfParts>
  <Company>Utanríkisráðuneytið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Samningur</dc:title>
  <dc:creator>skafti jónsson;SvA</dc:creator>
  <cp:lastModifiedBy>Skafti Jónsson</cp:lastModifiedBy>
  <cp:revision>4</cp:revision>
  <cp:lastPrinted>2013-05-06T17:53:00Z</cp:lastPrinted>
  <dcterms:created xsi:type="dcterms:W3CDTF">2015-06-30T14:36:00Z</dcterms:created>
  <dcterms:modified xsi:type="dcterms:W3CDTF">2015-07-27T13:26:00Z</dcterms:modified>
</cp:coreProperties>
</file>